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096" w:rsidRDefault="00497096" w:rsidP="00497096">
      <w:pPr>
        <w:pStyle w:val="Titulo1"/>
        <w:rPr>
          <w:rFonts w:cs="Times New Roman"/>
        </w:rPr>
      </w:pPr>
    </w:p>
    <w:p w:rsidR="00497096" w:rsidRPr="00F32677" w:rsidRDefault="00497096" w:rsidP="00497096">
      <w:pPr>
        <w:pStyle w:val="Titulo1"/>
        <w:rPr>
          <w:rFonts w:cs="Times New Roman"/>
        </w:rPr>
      </w:pPr>
      <w:bookmarkStart w:id="0" w:name="_GoBack"/>
      <w:r w:rsidRPr="00F32677">
        <w:rPr>
          <w:rFonts w:cs="Times New Roman"/>
        </w:rPr>
        <w:t>DECLARATORIA de vigencia de la Norma Mexicana NMX-COE-001-SCFI-2018.</w:t>
      </w:r>
    </w:p>
    <w:bookmarkEnd w:id="0"/>
    <w:p w:rsidR="00497096" w:rsidRPr="00F32677" w:rsidRDefault="00497096" w:rsidP="00497096">
      <w:pPr>
        <w:pStyle w:val="Titulo2"/>
      </w:pPr>
      <w:r w:rsidRPr="00F32677">
        <w:t xml:space="preserve">Al margen un sello con el Escudo Nacional, que dice: Estados Unidos </w:t>
      </w:r>
      <w:proofErr w:type="gramStart"/>
      <w:r w:rsidRPr="00F32677">
        <w:t>Mexicanos.-</w:t>
      </w:r>
      <w:proofErr w:type="gramEnd"/>
      <w:r w:rsidRPr="00F32677">
        <w:t xml:space="preserve"> SE.- Secretaría de Economía.- </w:t>
      </w:r>
      <w:r w:rsidRPr="00F32677">
        <w:rPr>
          <w:noProof/>
          <w:lang w:eastAsia="es-MX"/>
        </w:rPr>
        <w:t>Dirección General de Normas.</w:t>
      </w:r>
    </w:p>
    <w:p w:rsidR="00497096" w:rsidRPr="008828AF" w:rsidRDefault="00497096" w:rsidP="00497096">
      <w:pPr>
        <w:pStyle w:val="texto0"/>
        <w:spacing w:after="60" w:line="240" w:lineRule="auto"/>
        <w:rPr>
          <w:bCs/>
          <w:sz w:val="16"/>
          <w:szCs w:val="16"/>
        </w:rPr>
      </w:pPr>
      <w:r w:rsidRPr="008828AF">
        <w:rPr>
          <w:bCs/>
          <w:sz w:val="16"/>
          <w:szCs w:val="16"/>
        </w:rPr>
        <w:t>DECLARATORIA DE VIGENCIA DE LA NORMA MEXICANA NMX-COE-001-S</w:t>
      </w:r>
      <w:r>
        <w:rPr>
          <w:bCs/>
          <w:sz w:val="16"/>
          <w:szCs w:val="16"/>
        </w:rPr>
        <w:t>CFI-2018, COMERCIO ELECTRÓNICO-</w:t>
      </w:r>
      <w:r w:rsidRPr="008828AF">
        <w:rPr>
          <w:bCs/>
          <w:sz w:val="16"/>
          <w:szCs w:val="16"/>
        </w:rPr>
        <w:t>DISPOSICIONES A LAS QUE SE SUJETARÁN AQUELLAS PERSONAS QUE OFREZCAN, COMERCIALICEN O VENDAN BIENES, PRODUCTOS O SERVICIOS.</w:t>
      </w:r>
    </w:p>
    <w:p w:rsidR="00497096" w:rsidRDefault="00497096" w:rsidP="00497096">
      <w:pPr>
        <w:pStyle w:val="texto0"/>
        <w:spacing w:after="60" w:line="240" w:lineRule="auto"/>
        <w:rPr>
          <w:szCs w:val="22"/>
        </w:rPr>
      </w:pPr>
      <w:r w:rsidRPr="003D31FA">
        <w:rPr>
          <w:szCs w:val="22"/>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del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por el Comité Técnico de Normalización Nacional de Industrias Diversas. El texto completo de la Norma que se indica puede ser consultado gratuitamente en la Dirección General de Normas de esta Secretaría, ubicada en Calle Pachuca No. 189, Col. Condesa, Demarcación territorial Cuauhtémoc, código postal 06140, Ciudad de México.</w:t>
      </w:r>
    </w:p>
    <w:p w:rsidR="00497096" w:rsidRPr="003D31FA" w:rsidRDefault="00497096" w:rsidP="00497096">
      <w:pPr>
        <w:pStyle w:val="texto0"/>
        <w:spacing w:after="60" w:line="240" w:lineRule="auto"/>
        <w:rPr>
          <w:szCs w:val="22"/>
        </w:rPr>
      </w:pPr>
      <w:r w:rsidRPr="003D31FA">
        <w:rPr>
          <w:szCs w:val="22"/>
        </w:rPr>
        <w:t>La presente Norma Mexicana NMX-COE-001-SCFI-2018 entrará en vigor al día siguiente de la publicación de esta Declaratoria de Vigencia en el Diario Oficial de la Federación. SINEC-20190301170556454</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9"/>
        <w:gridCol w:w="5943"/>
      </w:tblGrid>
      <w:tr w:rsidR="00497096" w:rsidRPr="003D31FA" w:rsidTr="00584E64">
        <w:trPr>
          <w:trHeight w:val="144"/>
        </w:trPr>
        <w:tc>
          <w:tcPr>
            <w:tcW w:w="2769" w:type="dxa"/>
            <w:shd w:val="pct10" w:color="auto" w:fill="auto"/>
            <w:noWrap/>
            <w:vAlign w:val="center"/>
          </w:tcPr>
          <w:p w:rsidR="00497096" w:rsidRPr="003D31FA" w:rsidRDefault="00497096" w:rsidP="00584E64">
            <w:pPr>
              <w:pStyle w:val="texto0"/>
              <w:spacing w:after="60" w:line="240" w:lineRule="auto"/>
              <w:ind w:firstLine="0"/>
              <w:jc w:val="center"/>
              <w:rPr>
                <w:b/>
                <w:szCs w:val="22"/>
                <w:lang w:eastAsia="es-ES"/>
              </w:rPr>
            </w:pPr>
            <w:r w:rsidRPr="003D31FA">
              <w:rPr>
                <w:b/>
                <w:szCs w:val="22"/>
                <w:lang w:eastAsia="es-ES"/>
              </w:rPr>
              <w:t>CLAVE O CÓDIGO</w:t>
            </w:r>
          </w:p>
        </w:tc>
        <w:tc>
          <w:tcPr>
            <w:tcW w:w="5943" w:type="dxa"/>
            <w:shd w:val="pct10" w:color="auto" w:fill="auto"/>
            <w:vAlign w:val="center"/>
          </w:tcPr>
          <w:p w:rsidR="00497096" w:rsidRPr="003D31FA" w:rsidRDefault="00497096" w:rsidP="00584E64">
            <w:pPr>
              <w:pStyle w:val="texto0"/>
              <w:spacing w:after="60" w:line="240" w:lineRule="auto"/>
              <w:ind w:firstLine="0"/>
              <w:jc w:val="center"/>
              <w:rPr>
                <w:b/>
                <w:szCs w:val="22"/>
                <w:lang w:eastAsia="es-ES"/>
              </w:rPr>
            </w:pPr>
            <w:r w:rsidRPr="003D31FA">
              <w:rPr>
                <w:b/>
                <w:szCs w:val="22"/>
                <w:lang w:eastAsia="es-ES"/>
              </w:rPr>
              <w:t>TÍTULO DE LA NORMA MEXICANA</w:t>
            </w:r>
          </w:p>
        </w:tc>
      </w:tr>
      <w:tr w:rsidR="00497096" w:rsidRPr="003D31FA" w:rsidTr="00584E64">
        <w:trPr>
          <w:trHeight w:val="144"/>
        </w:trPr>
        <w:tc>
          <w:tcPr>
            <w:tcW w:w="2769" w:type="dxa"/>
            <w:vAlign w:val="center"/>
          </w:tcPr>
          <w:p w:rsidR="00497096" w:rsidRPr="00C361B4" w:rsidRDefault="00497096" w:rsidP="00584E64">
            <w:pPr>
              <w:pStyle w:val="texto0"/>
              <w:spacing w:after="60" w:line="240" w:lineRule="auto"/>
              <w:ind w:firstLine="0"/>
              <w:jc w:val="center"/>
              <w:rPr>
                <w:b/>
                <w:sz w:val="16"/>
                <w:szCs w:val="22"/>
                <w:highlight w:val="yellow"/>
                <w:lang w:eastAsia="es-ES"/>
              </w:rPr>
            </w:pPr>
            <w:r w:rsidRPr="00C361B4">
              <w:rPr>
                <w:b/>
                <w:sz w:val="16"/>
                <w:szCs w:val="22"/>
                <w:lang w:eastAsia="es-ES"/>
              </w:rPr>
              <w:t>NMX-COE-001-SCFI-2018</w:t>
            </w:r>
          </w:p>
        </w:tc>
        <w:tc>
          <w:tcPr>
            <w:tcW w:w="5943" w:type="dxa"/>
            <w:vAlign w:val="center"/>
          </w:tcPr>
          <w:p w:rsidR="00497096" w:rsidRPr="008828AF" w:rsidRDefault="00497096" w:rsidP="00584E64">
            <w:pPr>
              <w:pStyle w:val="texto0"/>
              <w:spacing w:after="60" w:line="240" w:lineRule="auto"/>
              <w:ind w:firstLine="0"/>
              <w:rPr>
                <w:sz w:val="16"/>
                <w:szCs w:val="16"/>
                <w:highlight w:val="yellow"/>
              </w:rPr>
            </w:pPr>
            <w:r>
              <w:rPr>
                <w:sz w:val="16"/>
                <w:szCs w:val="16"/>
              </w:rPr>
              <w:t>COMERCIO ELECTRÓNICO-</w:t>
            </w:r>
            <w:r w:rsidRPr="008828AF">
              <w:rPr>
                <w:sz w:val="16"/>
                <w:szCs w:val="16"/>
              </w:rPr>
              <w:t>DISPOSICIONES A LAS QUE SE SUJETARÁN AQUELLAS PERSONAS QUE OFREZCAN, COMERCIALICEN O VENDAN BIENES, PRODUCTOS O SERVICIOS.</w:t>
            </w:r>
          </w:p>
        </w:tc>
      </w:tr>
      <w:tr w:rsidR="00497096" w:rsidRPr="003D31FA" w:rsidTr="00584E64">
        <w:trPr>
          <w:trHeight w:val="144"/>
        </w:trPr>
        <w:tc>
          <w:tcPr>
            <w:tcW w:w="8712" w:type="dxa"/>
            <w:gridSpan w:val="2"/>
            <w:vAlign w:val="center"/>
          </w:tcPr>
          <w:p w:rsidR="00497096" w:rsidRPr="003D31FA" w:rsidRDefault="00497096" w:rsidP="00584E64">
            <w:pPr>
              <w:pStyle w:val="texto0"/>
              <w:spacing w:after="60" w:line="240" w:lineRule="auto"/>
              <w:ind w:firstLine="0"/>
              <w:jc w:val="center"/>
              <w:rPr>
                <w:b/>
                <w:szCs w:val="22"/>
              </w:rPr>
            </w:pPr>
            <w:r w:rsidRPr="003D31FA">
              <w:rPr>
                <w:b/>
                <w:szCs w:val="22"/>
              </w:rPr>
              <w:t>Objetivo y campo de aplicación</w:t>
            </w:r>
          </w:p>
          <w:p w:rsidR="00497096" w:rsidRDefault="00497096" w:rsidP="00584E64">
            <w:pPr>
              <w:pStyle w:val="texto0"/>
              <w:spacing w:after="60" w:line="240" w:lineRule="auto"/>
              <w:ind w:firstLine="0"/>
              <w:rPr>
                <w:szCs w:val="22"/>
              </w:rPr>
            </w:pPr>
            <w:r w:rsidRPr="003D31FA">
              <w:rPr>
                <w:szCs w:val="22"/>
                <w:lang w:val="es-ES"/>
              </w:rPr>
              <w:t>Esta Norma Mexicana establece las disposiciones a las que se sujetarán todas aquellas personas físicas o morales que en forma habitual o profesional ofrezcan, comercialicen o vendan bienes, productos o servicios, mediante el uso de medios electrónicos, ópticos o de cualquier otra tecnología, con la finalidad de garantizar los derechos de los consumidores que realicen transacciones a través de dichos medios, procurando un marco legal equitativo, que facilite la realización de transacciones comerciales, otorgando certeza y seguridad jurídica a las mismas.</w:t>
            </w:r>
          </w:p>
          <w:p w:rsidR="00497096" w:rsidRDefault="00497096" w:rsidP="00584E64">
            <w:pPr>
              <w:pStyle w:val="texto0"/>
              <w:spacing w:after="60" w:line="240" w:lineRule="auto"/>
              <w:ind w:firstLine="0"/>
              <w:rPr>
                <w:szCs w:val="22"/>
              </w:rPr>
            </w:pPr>
            <w:r w:rsidRPr="003D31FA">
              <w:rPr>
                <w:szCs w:val="22"/>
                <w:lang w:val="es-ES"/>
              </w:rPr>
              <w:t>Las actividades a que se refiere esta Norma Mexicana se interpretarán y aplicarán bajo los principios de neutralidad tecnológica, autonomía de la voluntad, y equivalencia funcional, contemplados en el artículo 89 del Código de Comercio.</w:t>
            </w:r>
          </w:p>
          <w:p w:rsidR="00497096" w:rsidRDefault="00497096" w:rsidP="00584E64">
            <w:pPr>
              <w:pStyle w:val="texto0"/>
              <w:spacing w:after="60" w:line="240" w:lineRule="auto"/>
              <w:ind w:firstLine="0"/>
              <w:rPr>
                <w:szCs w:val="22"/>
              </w:rPr>
            </w:pPr>
            <w:r w:rsidRPr="003D31FA">
              <w:rPr>
                <w:szCs w:val="22"/>
                <w:lang w:val="es-ES"/>
              </w:rPr>
              <w:t>Esta Norma Mexicana es aplicable a todas aquellas personas físicas o morales que en forma habitual o profesional ofrezcan, comercialicen o vendan bienes, productos o servicios, mediante el uso de medios electrónicos, ópticos o de cualquier otra tecnología, únicamente para las relaciones de consumo que se lleven a cabo por medio de los Proveedores, Proveedores intermediarios o Terceros proveedores con los consumidores de bienes, productos o servicios.</w:t>
            </w:r>
          </w:p>
          <w:p w:rsidR="00497096" w:rsidRPr="003D31FA" w:rsidRDefault="00497096" w:rsidP="00584E64">
            <w:pPr>
              <w:pStyle w:val="texto0"/>
              <w:spacing w:after="60" w:line="240" w:lineRule="auto"/>
              <w:ind w:firstLine="0"/>
              <w:rPr>
                <w:szCs w:val="22"/>
                <w:highlight w:val="yellow"/>
                <w:lang w:val="es-ES"/>
              </w:rPr>
            </w:pPr>
            <w:r w:rsidRPr="003D31FA">
              <w:rPr>
                <w:szCs w:val="22"/>
                <w:lang w:val="es-ES"/>
              </w:rPr>
              <w:t>La presente Norma Mexicana no es aplicable para los servicios financieros que se realicen a través de los medios antes mencionados.</w:t>
            </w:r>
          </w:p>
        </w:tc>
      </w:tr>
    </w:tbl>
    <w:p w:rsidR="00497096" w:rsidRPr="006C3DFA" w:rsidRDefault="00497096" w:rsidP="00497096">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2"/>
      </w:tblGrid>
      <w:tr w:rsidR="00497096" w:rsidRPr="003D31FA" w:rsidTr="00584E64">
        <w:trPr>
          <w:trHeight w:val="144"/>
        </w:trPr>
        <w:tc>
          <w:tcPr>
            <w:tcW w:w="8712" w:type="dxa"/>
            <w:vAlign w:val="center"/>
          </w:tcPr>
          <w:p w:rsidR="00497096" w:rsidRDefault="00497096" w:rsidP="00584E64">
            <w:pPr>
              <w:pStyle w:val="texto0"/>
              <w:spacing w:after="60" w:line="240" w:lineRule="auto"/>
              <w:ind w:firstLine="0"/>
              <w:jc w:val="center"/>
              <w:rPr>
                <w:b/>
                <w:szCs w:val="22"/>
              </w:rPr>
            </w:pPr>
            <w:r w:rsidRPr="003D31FA">
              <w:rPr>
                <w:b/>
                <w:szCs w:val="22"/>
                <w:lang w:eastAsia="es-ES"/>
              </w:rPr>
              <w:t>Concordancia con Normas Internacionales</w:t>
            </w:r>
          </w:p>
          <w:p w:rsidR="00497096" w:rsidRPr="003D31FA" w:rsidRDefault="00497096" w:rsidP="00584E64">
            <w:pPr>
              <w:pStyle w:val="texto0"/>
              <w:spacing w:after="60" w:line="240" w:lineRule="auto"/>
              <w:ind w:firstLine="0"/>
              <w:rPr>
                <w:szCs w:val="22"/>
                <w:lang w:eastAsia="es-ES"/>
              </w:rPr>
            </w:pPr>
            <w:r w:rsidRPr="003D31FA">
              <w:rPr>
                <w:szCs w:val="22"/>
                <w:lang w:eastAsia="es-ES"/>
              </w:rPr>
              <w:t>Esta Norma Mexicana no es equivalente (NEQ) con ninguna Norma Internacional, por no existir esta última al momento de elaborar esta Norma Mexicana.</w:t>
            </w:r>
          </w:p>
        </w:tc>
      </w:tr>
      <w:tr w:rsidR="00497096" w:rsidRPr="003D31FA" w:rsidTr="00584E64">
        <w:trPr>
          <w:trHeight w:val="144"/>
        </w:trPr>
        <w:tc>
          <w:tcPr>
            <w:tcW w:w="8712" w:type="dxa"/>
            <w:vAlign w:val="center"/>
          </w:tcPr>
          <w:p w:rsidR="00497096" w:rsidRPr="008828AF" w:rsidRDefault="00497096" w:rsidP="00584E64">
            <w:pPr>
              <w:pStyle w:val="texto0"/>
              <w:spacing w:after="60" w:line="240" w:lineRule="auto"/>
              <w:ind w:firstLine="0"/>
              <w:jc w:val="center"/>
              <w:rPr>
                <w:b/>
                <w:szCs w:val="22"/>
                <w:lang w:val="en-US"/>
              </w:rPr>
            </w:pPr>
            <w:proofErr w:type="spellStart"/>
            <w:r w:rsidRPr="008828AF">
              <w:rPr>
                <w:b/>
                <w:szCs w:val="22"/>
                <w:lang w:val="en-US" w:eastAsia="es-ES"/>
              </w:rPr>
              <w:t>Bibliografía</w:t>
            </w:r>
            <w:proofErr w:type="spellEnd"/>
          </w:p>
          <w:p w:rsidR="00497096" w:rsidRDefault="00497096" w:rsidP="00584E64">
            <w:pPr>
              <w:pStyle w:val="texto0"/>
              <w:spacing w:after="60" w:line="240" w:lineRule="auto"/>
              <w:ind w:left="396" w:hanging="396"/>
              <w:rPr>
                <w:szCs w:val="22"/>
                <w:lang w:val="en-US"/>
              </w:rPr>
            </w:pPr>
            <w:r>
              <w:rPr>
                <w:szCs w:val="22"/>
                <w:lang w:val="en-US"/>
              </w:rPr>
              <w:t>●</w:t>
            </w:r>
            <w:r>
              <w:rPr>
                <w:szCs w:val="22"/>
                <w:lang w:val="en-US"/>
              </w:rPr>
              <w:tab/>
            </w:r>
            <w:r w:rsidRPr="003D31FA">
              <w:rPr>
                <w:szCs w:val="22"/>
                <w:lang w:val="en-US"/>
              </w:rPr>
              <w:t>“Digital Economy Policy Legal instruments, Consumer Protection in E-commerce”, OECD Recommendation, 2016.</w:t>
            </w:r>
          </w:p>
          <w:p w:rsidR="00497096" w:rsidRDefault="00497096" w:rsidP="00584E64">
            <w:pPr>
              <w:pStyle w:val="texto0"/>
              <w:spacing w:after="60" w:line="240" w:lineRule="auto"/>
              <w:ind w:left="396" w:hanging="396"/>
              <w:rPr>
                <w:szCs w:val="22"/>
                <w:lang w:val="en-US"/>
              </w:rPr>
            </w:pPr>
            <w:r>
              <w:rPr>
                <w:szCs w:val="22"/>
                <w:lang w:val="en-US"/>
              </w:rPr>
              <w:t>●</w:t>
            </w:r>
            <w:r>
              <w:rPr>
                <w:szCs w:val="22"/>
                <w:lang w:val="en-US"/>
              </w:rPr>
              <w:tab/>
            </w:r>
            <w:r w:rsidRPr="003D31FA">
              <w:rPr>
                <w:szCs w:val="22"/>
                <w:lang w:val="en-US"/>
              </w:rPr>
              <w:t xml:space="preserve">ISO 10008:2013, Quality management — Customer satisfaction — Guidelines for business-to-consumer electronic commerce transactions, Primera </w:t>
            </w:r>
            <w:proofErr w:type="spellStart"/>
            <w:r w:rsidRPr="003D31FA">
              <w:rPr>
                <w:szCs w:val="22"/>
                <w:lang w:val="en-US"/>
              </w:rPr>
              <w:t>Edición</w:t>
            </w:r>
            <w:proofErr w:type="spellEnd"/>
            <w:r w:rsidRPr="003D31FA">
              <w:rPr>
                <w:szCs w:val="22"/>
                <w:lang w:val="en-US"/>
              </w:rPr>
              <w:t xml:space="preserve">, </w:t>
            </w:r>
            <w:proofErr w:type="spellStart"/>
            <w:r w:rsidRPr="003D31FA">
              <w:rPr>
                <w:szCs w:val="22"/>
                <w:lang w:val="en-US"/>
              </w:rPr>
              <w:t>junio</w:t>
            </w:r>
            <w:proofErr w:type="spellEnd"/>
            <w:r w:rsidRPr="003D31FA">
              <w:rPr>
                <w:szCs w:val="22"/>
                <w:lang w:val="en-US"/>
              </w:rPr>
              <w:t xml:space="preserve"> 2013 y sus </w:t>
            </w:r>
            <w:proofErr w:type="spellStart"/>
            <w:r w:rsidRPr="003D31FA">
              <w:rPr>
                <w:szCs w:val="22"/>
                <w:lang w:val="en-US"/>
              </w:rPr>
              <w:t>actualizaciones</w:t>
            </w:r>
            <w:proofErr w:type="spellEnd"/>
            <w:r w:rsidRPr="003D31FA">
              <w:rPr>
                <w:szCs w:val="22"/>
                <w:lang w:val="en-US"/>
              </w:rPr>
              <w:t>.</w:t>
            </w:r>
          </w:p>
          <w:p w:rsidR="00497096" w:rsidRDefault="00497096" w:rsidP="00584E64">
            <w:pPr>
              <w:pStyle w:val="texto0"/>
              <w:spacing w:after="60" w:line="240" w:lineRule="auto"/>
              <w:ind w:left="396" w:hanging="396"/>
              <w:rPr>
                <w:szCs w:val="22"/>
              </w:rPr>
            </w:pPr>
            <w:r w:rsidRPr="008828AF">
              <w:rPr>
                <w:szCs w:val="22"/>
              </w:rPr>
              <w:t>●</w:t>
            </w:r>
            <w:r w:rsidRPr="008828AF">
              <w:rPr>
                <w:szCs w:val="22"/>
              </w:rPr>
              <w:tab/>
            </w:r>
            <w:r w:rsidRPr="003D31FA">
              <w:rPr>
                <w:szCs w:val="22"/>
              </w:rPr>
              <w:t>NMX-Z-013-2015, Guía para la Redacción, Estructuración y Presentación de las Normas, publicada en el Diario Oficial de la Federación, el 18 de noviembre de 2015.</w:t>
            </w:r>
          </w:p>
          <w:p w:rsidR="00497096" w:rsidRDefault="00497096" w:rsidP="00584E64">
            <w:pPr>
              <w:pStyle w:val="texto0"/>
              <w:spacing w:after="72" w:line="240" w:lineRule="auto"/>
              <w:ind w:left="403" w:hanging="403"/>
              <w:rPr>
                <w:szCs w:val="22"/>
              </w:rPr>
            </w:pPr>
            <w:r w:rsidRPr="008828AF">
              <w:rPr>
                <w:szCs w:val="22"/>
              </w:rPr>
              <w:t>●</w:t>
            </w:r>
            <w:r w:rsidRPr="008828AF">
              <w:rPr>
                <w:szCs w:val="22"/>
              </w:rPr>
              <w:tab/>
            </w:r>
            <w:r w:rsidRPr="003D31FA">
              <w:rPr>
                <w:szCs w:val="22"/>
              </w:rPr>
              <w:t>Ley Federal sobre Metrología y Normalización, publicada en el Diario Oficial de la Federación, el 1 de julio de 1992 y sus reformas.</w:t>
            </w:r>
          </w:p>
          <w:p w:rsidR="00497096" w:rsidRDefault="00497096" w:rsidP="00584E64">
            <w:pPr>
              <w:pStyle w:val="texto0"/>
              <w:spacing w:after="72" w:line="240" w:lineRule="auto"/>
              <w:ind w:left="403" w:hanging="403"/>
              <w:rPr>
                <w:szCs w:val="22"/>
              </w:rPr>
            </w:pPr>
            <w:r w:rsidRPr="008828AF">
              <w:rPr>
                <w:szCs w:val="22"/>
              </w:rPr>
              <w:t>●</w:t>
            </w:r>
            <w:r w:rsidRPr="008828AF">
              <w:rPr>
                <w:szCs w:val="22"/>
              </w:rPr>
              <w:tab/>
            </w:r>
            <w:r w:rsidRPr="003D31FA">
              <w:rPr>
                <w:szCs w:val="22"/>
              </w:rPr>
              <w:t>Reglamento de la Ley Federal sobre Metrología y Normalización, publicado en el Diario Oficial de la Federación, el 14 de enero de 1999 y sus reformas.</w:t>
            </w:r>
          </w:p>
          <w:p w:rsidR="00497096" w:rsidRDefault="00497096" w:rsidP="00584E64">
            <w:pPr>
              <w:pStyle w:val="texto0"/>
              <w:spacing w:after="72" w:line="240" w:lineRule="auto"/>
              <w:ind w:left="403" w:hanging="403"/>
              <w:rPr>
                <w:szCs w:val="22"/>
              </w:rPr>
            </w:pPr>
            <w:r w:rsidRPr="008828AF">
              <w:rPr>
                <w:szCs w:val="22"/>
              </w:rPr>
              <w:t>●</w:t>
            </w:r>
            <w:r w:rsidRPr="008828AF">
              <w:rPr>
                <w:szCs w:val="22"/>
              </w:rPr>
              <w:tab/>
            </w:r>
            <w:r w:rsidRPr="003D31FA">
              <w:rPr>
                <w:szCs w:val="22"/>
              </w:rPr>
              <w:t>Ley Federal de Protección al Consumidor, publicada en el Diario Oficial de la Federación, el 24 de diciembre de 1992 y sus reformas.</w:t>
            </w:r>
          </w:p>
          <w:p w:rsidR="00497096" w:rsidRDefault="00497096" w:rsidP="00584E64">
            <w:pPr>
              <w:pStyle w:val="texto0"/>
              <w:spacing w:after="72" w:line="240" w:lineRule="auto"/>
              <w:ind w:left="403" w:hanging="403"/>
              <w:rPr>
                <w:szCs w:val="22"/>
              </w:rPr>
            </w:pPr>
            <w:r w:rsidRPr="008828AF">
              <w:rPr>
                <w:szCs w:val="22"/>
              </w:rPr>
              <w:lastRenderedPageBreak/>
              <w:t>●</w:t>
            </w:r>
            <w:r w:rsidRPr="008828AF">
              <w:rPr>
                <w:szCs w:val="22"/>
              </w:rPr>
              <w:tab/>
            </w:r>
            <w:r w:rsidRPr="003D31FA">
              <w:rPr>
                <w:szCs w:val="22"/>
              </w:rPr>
              <w:t>Reglamento de la Ley Federal de Protección al Consumidor, publicado en el Diario Oficial de la Federación, el 03 de agosto de 2006 y sus reformas.</w:t>
            </w:r>
          </w:p>
          <w:p w:rsidR="00497096" w:rsidRDefault="00497096" w:rsidP="00584E64">
            <w:pPr>
              <w:pStyle w:val="texto0"/>
              <w:spacing w:after="72" w:line="240" w:lineRule="auto"/>
              <w:ind w:left="403" w:hanging="403"/>
              <w:rPr>
                <w:szCs w:val="22"/>
              </w:rPr>
            </w:pPr>
            <w:r w:rsidRPr="008828AF">
              <w:rPr>
                <w:szCs w:val="22"/>
              </w:rPr>
              <w:t>●</w:t>
            </w:r>
            <w:r w:rsidRPr="008828AF">
              <w:rPr>
                <w:szCs w:val="22"/>
              </w:rPr>
              <w:tab/>
            </w:r>
            <w:r w:rsidRPr="003D31FA">
              <w:rPr>
                <w:szCs w:val="22"/>
              </w:rPr>
              <w:t>Código de Comercio, publicado en el Diario Oficial de la Federación, del 7 de octubre al 13 de diciembre de 1889 y sus reformas.</w:t>
            </w:r>
          </w:p>
          <w:p w:rsidR="00497096" w:rsidRDefault="00497096" w:rsidP="00584E64">
            <w:pPr>
              <w:pStyle w:val="texto0"/>
              <w:spacing w:after="60" w:line="240" w:lineRule="auto"/>
              <w:ind w:left="396" w:hanging="396"/>
              <w:rPr>
                <w:szCs w:val="22"/>
              </w:rPr>
            </w:pPr>
            <w:r w:rsidRPr="008828AF">
              <w:rPr>
                <w:szCs w:val="22"/>
              </w:rPr>
              <w:t>●</w:t>
            </w:r>
            <w:r w:rsidRPr="008828AF">
              <w:rPr>
                <w:szCs w:val="22"/>
              </w:rPr>
              <w:tab/>
            </w:r>
            <w:r w:rsidRPr="003D31FA">
              <w:rPr>
                <w:szCs w:val="22"/>
              </w:rPr>
              <w:t>Código de Buenas Prácticas para el Comercio Electrónico de la Cámara de Comercio de Santiago de Chile, publicado en el mes de noviembre de 2015.</w:t>
            </w:r>
          </w:p>
          <w:p w:rsidR="00497096" w:rsidRDefault="00497096" w:rsidP="00584E64">
            <w:pPr>
              <w:pStyle w:val="texto0"/>
              <w:spacing w:after="60" w:line="240" w:lineRule="auto"/>
              <w:ind w:left="396" w:hanging="396"/>
              <w:rPr>
                <w:szCs w:val="22"/>
              </w:rPr>
            </w:pPr>
            <w:r w:rsidRPr="008828AF">
              <w:rPr>
                <w:szCs w:val="22"/>
              </w:rPr>
              <w:t>●</w:t>
            </w:r>
            <w:r w:rsidRPr="008828AF">
              <w:rPr>
                <w:szCs w:val="22"/>
              </w:rPr>
              <w:tab/>
            </w:r>
            <w:r w:rsidRPr="003D31FA">
              <w:rPr>
                <w:szCs w:val="22"/>
              </w:rPr>
              <w:t>Ley Modelo de la CNUDMI sobre comercio electrónico, y la Guía para su incorporación al derecho interno, 1996 y sus reformas.</w:t>
            </w:r>
          </w:p>
          <w:p w:rsidR="00497096" w:rsidRDefault="00497096" w:rsidP="00584E64">
            <w:pPr>
              <w:pStyle w:val="texto0"/>
              <w:spacing w:after="60" w:line="240" w:lineRule="auto"/>
              <w:ind w:left="396" w:hanging="396"/>
              <w:rPr>
                <w:szCs w:val="22"/>
              </w:rPr>
            </w:pPr>
            <w:r w:rsidRPr="008828AF">
              <w:rPr>
                <w:szCs w:val="22"/>
              </w:rPr>
              <w:t>●</w:t>
            </w:r>
            <w:r w:rsidRPr="008828AF">
              <w:rPr>
                <w:szCs w:val="22"/>
              </w:rPr>
              <w:tab/>
            </w:r>
            <w:r w:rsidRPr="003D31FA">
              <w:rPr>
                <w:szCs w:val="22"/>
              </w:rPr>
              <w:t>Ley para la Transparencia y Ordenamiento de los Servicios Financieros, publicada en el Diario Oficial de la Federación, el 15 de junio de 2007 y sus reformas.</w:t>
            </w:r>
          </w:p>
          <w:p w:rsidR="00497096" w:rsidRDefault="00497096" w:rsidP="00584E64">
            <w:pPr>
              <w:pStyle w:val="texto0"/>
              <w:spacing w:after="60" w:line="240" w:lineRule="auto"/>
              <w:ind w:left="396" w:hanging="396"/>
              <w:rPr>
                <w:szCs w:val="22"/>
              </w:rPr>
            </w:pPr>
            <w:r w:rsidRPr="008828AF">
              <w:rPr>
                <w:szCs w:val="22"/>
              </w:rPr>
              <w:t>●</w:t>
            </w:r>
            <w:r w:rsidRPr="008828AF">
              <w:rPr>
                <w:szCs w:val="22"/>
              </w:rPr>
              <w:tab/>
            </w:r>
            <w:r w:rsidRPr="003D31FA">
              <w:rPr>
                <w:szCs w:val="22"/>
              </w:rPr>
              <w:t>Ley Federal de Protección de Datos Personales en Posesión de los Particulares, publicada en el Diario Oficial de la Federación, el 5 de julio de 2010.</w:t>
            </w:r>
          </w:p>
          <w:p w:rsidR="00497096" w:rsidRDefault="00497096" w:rsidP="00584E64">
            <w:pPr>
              <w:pStyle w:val="texto0"/>
              <w:spacing w:after="60" w:line="240" w:lineRule="auto"/>
              <w:ind w:left="396" w:hanging="396"/>
              <w:rPr>
                <w:szCs w:val="22"/>
              </w:rPr>
            </w:pPr>
            <w:r w:rsidRPr="008828AF">
              <w:rPr>
                <w:szCs w:val="22"/>
              </w:rPr>
              <w:t>●</w:t>
            </w:r>
            <w:r w:rsidRPr="008828AF">
              <w:rPr>
                <w:szCs w:val="22"/>
              </w:rPr>
              <w:tab/>
            </w:r>
            <w:r w:rsidRPr="003D31FA">
              <w:rPr>
                <w:szCs w:val="22"/>
              </w:rPr>
              <w:t>Reglamento a la Ley Federal de Protección de Datos Personales en Posesión de Particulares, publicado en el Diario Oficial de la Federación, el 21 de diciembre de 2011.</w:t>
            </w:r>
          </w:p>
          <w:p w:rsidR="00497096" w:rsidRPr="003D31FA" w:rsidRDefault="00497096" w:rsidP="00584E64">
            <w:pPr>
              <w:pStyle w:val="texto0"/>
              <w:spacing w:after="60" w:line="240" w:lineRule="auto"/>
              <w:ind w:left="396" w:hanging="396"/>
              <w:rPr>
                <w:szCs w:val="22"/>
                <w:lang w:val="en-US"/>
              </w:rPr>
            </w:pPr>
            <w:r>
              <w:rPr>
                <w:szCs w:val="22"/>
                <w:lang w:val="en-US"/>
              </w:rPr>
              <w:t>●</w:t>
            </w:r>
            <w:r>
              <w:rPr>
                <w:szCs w:val="22"/>
                <w:lang w:val="en-US"/>
              </w:rPr>
              <w:tab/>
            </w:r>
            <w:r w:rsidRPr="003D31FA">
              <w:rPr>
                <w:szCs w:val="22"/>
                <w:lang w:val="en-US"/>
              </w:rPr>
              <w:t xml:space="preserve">Information Supplement: PCI DSS E-commerce Guidelines - PCI Data Security Standard (PCI DSS), version 2.0, - E- commerce Special Interest Group PCI Security Standards Council, </w:t>
            </w:r>
            <w:proofErr w:type="spellStart"/>
            <w:r w:rsidRPr="003D31FA">
              <w:rPr>
                <w:szCs w:val="22"/>
                <w:lang w:val="en-US"/>
              </w:rPr>
              <w:t>enero</w:t>
            </w:r>
            <w:proofErr w:type="spellEnd"/>
            <w:r w:rsidRPr="003D31FA">
              <w:rPr>
                <w:szCs w:val="22"/>
                <w:lang w:val="en-US"/>
              </w:rPr>
              <w:t xml:space="preserve"> 2013 </w:t>
            </w:r>
            <w:proofErr w:type="gramStart"/>
            <w:r w:rsidRPr="003D31FA">
              <w:rPr>
                <w:szCs w:val="22"/>
                <w:lang w:val="en-US"/>
              </w:rPr>
              <w:t xml:space="preserve">y </w:t>
            </w:r>
            <w:r>
              <w:rPr>
                <w:szCs w:val="22"/>
                <w:lang w:val="en-US"/>
              </w:rPr>
              <w:t xml:space="preserve"> </w:t>
            </w:r>
            <w:r w:rsidRPr="003D31FA">
              <w:rPr>
                <w:szCs w:val="22"/>
                <w:lang w:val="en-US"/>
              </w:rPr>
              <w:t>sus</w:t>
            </w:r>
            <w:proofErr w:type="gramEnd"/>
            <w:r w:rsidRPr="003D31FA">
              <w:rPr>
                <w:szCs w:val="22"/>
                <w:lang w:val="en-US"/>
              </w:rPr>
              <w:t xml:space="preserve"> </w:t>
            </w:r>
            <w:proofErr w:type="spellStart"/>
            <w:r w:rsidRPr="003D31FA">
              <w:rPr>
                <w:szCs w:val="22"/>
                <w:lang w:val="en-US"/>
              </w:rPr>
              <w:t>actualizaciones</w:t>
            </w:r>
            <w:proofErr w:type="spellEnd"/>
            <w:r w:rsidRPr="003D31FA">
              <w:rPr>
                <w:szCs w:val="22"/>
                <w:lang w:val="en-US"/>
              </w:rPr>
              <w:t>.</w:t>
            </w:r>
          </w:p>
        </w:tc>
      </w:tr>
    </w:tbl>
    <w:p w:rsidR="00497096" w:rsidRPr="003D31FA" w:rsidRDefault="00497096" w:rsidP="00497096">
      <w:pPr>
        <w:pStyle w:val="Texto"/>
        <w:spacing w:after="60" w:line="240" w:lineRule="auto"/>
        <w:rPr>
          <w:lang w:val="en-US"/>
        </w:rPr>
      </w:pPr>
    </w:p>
    <w:p w:rsidR="00497096" w:rsidRDefault="00497096" w:rsidP="00497096">
      <w:pPr>
        <w:pStyle w:val="texto0"/>
        <w:spacing w:after="60" w:line="240" w:lineRule="auto"/>
        <w:rPr>
          <w:szCs w:val="22"/>
        </w:rPr>
      </w:pPr>
      <w:r>
        <w:rPr>
          <w:szCs w:val="22"/>
        </w:rPr>
        <w:t>Ciudad de México, a 22</w:t>
      </w:r>
      <w:r w:rsidRPr="003D31FA">
        <w:rPr>
          <w:szCs w:val="22"/>
        </w:rPr>
        <w:t xml:space="preserve"> de abril de 2019.</w:t>
      </w:r>
      <w:r>
        <w:rPr>
          <w:szCs w:val="22"/>
        </w:rPr>
        <w:t xml:space="preserve">- </w:t>
      </w:r>
      <w:r>
        <w:t xml:space="preserve">El </w:t>
      </w:r>
      <w:r w:rsidRPr="003D31FA">
        <w:t>Director General de Normas</w:t>
      </w:r>
      <w:r>
        <w:t xml:space="preserve">, </w:t>
      </w:r>
      <w:r w:rsidRPr="003D31FA">
        <w:rPr>
          <w:b/>
          <w:szCs w:val="22"/>
        </w:rPr>
        <w:t xml:space="preserve">Alfonso </w:t>
      </w:r>
      <w:proofErr w:type="spellStart"/>
      <w:r w:rsidRPr="003D31FA">
        <w:rPr>
          <w:b/>
          <w:szCs w:val="22"/>
        </w:rPr>
        <w:t>Guati</w:t>
      </w:r>
      <w:proofErr w:type="spellEnd"/>
      <w:r w:rsidRPr="003D31FA">
        <w:rPr>
          <w:b/>
          <w:szCs w:val="22"/>
        </w:rPr>
        <w:t xml:space="preserve"> Rojo </w:t>
      </w:r>
      <w:proofErr w:type="gramStart"/>
      <w:r w:rsidRPr="003D31FA">
        <w:rPr>
          <w:b/>
          <w:szCs w:val="22"/>
        </w:rPr>
        <w:t>Sánchez</w:t>
      </w:r>
      <w:r>
        <w:rPr>
          <w:szCs w:val="22"/>
        </w:rPr>
        <w:t>.-</w:t>
      </w:r>
      <w:proofErr w:type="gramEnd"/>
      <w:r>
        <w:rPr>
          <w:szCs w:val="22"/>
        </w:rPr>
        <w:t xml:space="preserve"> Rúbrica.</w:t>
      </w:r>
    </w:p>
    <w:p w:rsidR="00497096" w:rsidRDefault="00497096"/>
    <w:sectPr w:rsidR="00497096" w:rsidSect="00CD7D2F">
      <w:headerReference w:type="even" r:id="rId4"/>
      <w:headerReference w:type="default" r:id="rId5"/>
      <w:pgSz w:w="12240" w:h="15840"/>
      <w:pgMar w:top="1152" w:right="1699" w:bottom="1296" w:left="1699"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534" w:rsidRPr="00F32677" w:rsidRDefault="00497096" w:rsidP="00CD7D2F">
    <w:pPr>
      <w:pStyle w:val="Fechas"/>
      <w:rPr>
        <w:rFonts w:cs="Times New Roman"/>
      </w:rPr>
    </w:pPr>
    <w:r>
      <w:rPr>
        <w:rFonts w:cs="Times New Roman"/>
      </w:rPr>
      <w:t xml:space="preserve"> </w:t>
    </w:r>
    <w:r w:rsidRPr="00F32677">
      <w:rPr>
        <w:rFonts w:cs="Times New Roman"/>
      </w:rPr>
      <w:t xml:space="preserve">     (Cuarta Sección)</w:t>
    </w:r>
    <w:r w:rsidRPr="00F32677">
      <w:rPr>
        <w:rFonts w:cs="Times New Roman"/>
      </w:rPr>
      <w:tab/>
      <w:t>DIARIO OFICIAL</w:t>
    </w:r>
    <w:r w:rsidRPr="00F32677">
      <w:rPr>
        <w:rFonts w:cs="Times New Roman"/>
      </w:rPr>
      <w:tab/>
    </w:r>
    <w:proofErr w:type="gramStart"/>
    <w:r w:rsidRPr="00F32677">
      <w:rPr>
        <w:rFonts w:cs="Times New Roman"/>
      </w:rPr>
      <w:t>Martes</w:t>
    </w:r>
    <w:proofErr w:type="gramEnd"/>
    <w:r w:rsidRPr="00F32677">
      <w:rPr>
        <w:rFonts w:cs="Times New Roman"/>
      </w:rPr>
      <w:t xml:space="preserve"> 30 d</w:t>
    </w:r>
    <w:r w:rsidRPr="00F32677">
      <w:rPr>
        <w:rFonts w:cs="Times New Roman"/>
      </w:rPr>
      <w:t>e abril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534" w:rsidRPr="00F32677" w:rsidRDefault="00497096" w:rsidP="00CD7D2F">
    <w:pPr>
      <w:pStyle w:val="Fechas"/>
      <w:rPr>
        <w:rFonts w:cs="Times New Roman"/>
      </w:rPr>
    </w:pPr>
    <w:r w:rsidRPr="00F32677">
      <w:rPr>
        <w:rFonts w:cs="Times New Roman"/>
      </w:rPr>
      <w:t>Martes 30 de abril de 2019</w:t>
    </w:r>
    <w:r w:rsidRPr="00F32677">
      <w:rPr>
        <w:rFonts w:cs="Times New Roman"/>
      </w:rPr>
      <w:tab/>
      <w:t>DIARIO OFICIAL</w:t>
    </w:r>
    <w:r w:rsidRPr="00F32677">
      <w:rPr>
        <w:rFonts w:cs="Times New Roman"/>
      </w:rPr>
      <w:tab/>
      <w:t xml:space="preserve">(Cuarta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96"/>
    <w:rsid w:val="004970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49FE"/>
  <w15:chartTrackingRefBased/>
  <w15:docId w15:val="{7CF2B6AA-A341-4352-A951-3E2FDC31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96"/>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97096"/>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49709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49709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97096"/>
    <w:pPr>
      <w:pBdr>
        <w:top w:val="double" w:sz="6" w:space="1" w:color="auto"/>
      </w:pBdr>
      <w:spacing w:line="240" w:lineRule="auto"/>
      <w:ind w:firstLine="0"/>
      <w:outlineLvl w:val="1"/>
    </w:pPr>
    <w:rPr>
      <w:lang w:val="es-MX"/>
    </w:rPr>
  </w:style>
  <w:style w:type="paragraph" w:styleId="Encabezado">
    <w:name w:val="header"/>
    <w:basedOn w:val="Normal"/>
    <w:link w:val="EncabezadoCar"/>
    <w:rsid w:val="00497096"/>
    <w:pPr>
      <w:tabs>
        <w:tab w:val="center" w:pos="4419"/>
        <w:tab w:val="right" w:pos="8838"/>
      </w:tabs>
    </w:pPr>
  </w:style>
  <w:style w:type="character" w:customStyle="1" w:styleId="EncabezadoCar">
    <w:name w:val="Encabezado Car"/>
    <w:basedOn w:val="Fuentedeprrafopredeter"/>
    <w:link w:val="Encabezado"/>
    <w:rsid w:val="00497096"/>
    <w:rPr>
      <w:rFonts w:ascii="Times New Roman" w:eastAsia="Times New Roman" w:hAnsi="Times New Roman" w:cs="Times New Roman"/>
      <w:sz w:val="24"/>
      <w:szCs w:val="24"/>
      <w:lang w:val="es-ES" w:eastAsia="zh-CN"/>
    </w:rPr>
  </w:style>
  <w:style w:type="character" w:customStyle="1" w:styleId="TextoCar">
    <w:name w:val="Texto Car"/>
    <w:link w:val="Texto"/>
    <w:locked/>
    <w:rsid w:val="00497096"/>
    <w:rPr>
      <w:rFonts w:ascii="Arial" w:eastAsia="Times New Roman" w:hAnsi="Arial" w:cs="Arial"/>
      <w:sz w:val="18"/>
      <w:szCs w:val="20"/>
      <w:lang w:val="es-ES" w:eastAsia="zh-CN"/>
    </w:rPr>
  </w:style>
  <w:style w:type="paragraph" w:customStyle="1" w:styleId="texto0">
    <w:name w:val="texto"/>
    <w:basedOn w:val="Normal"/>
    <w:rsid w:val="00497096"/>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4866</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2019-04-30T13:17:00Z</dcterms:created>
  <dcterms:modified xsi:type="dcterms:W3CDTF">2019-04-30T13:18:00Z</dcterms:modified>
</cp:coreProperties>
</file>